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both"/>
      </w:pPr>
      <w:r>
        <w:rPr>
          <w:rFonts w:hint="eastAsia"/>
        </w:rPr>
        <w:t>附件</w:t>
      </w:r>
    </w:p>
    <w:p>
      <w:pPr>
        <w:pStyle w:val="3"/>
      </w:pPr>
      <w:r>
        <w:rPr>
          <w:rFonts w:hint="eastAsia"/>
        </w:rPr>
        <w:t>采购服务技术参数及要求</w:t>
      </w:r>
    </w:p>
    <w:p>
      <w:pPr>
        <w:spacing w:line="360" w:lineRule="auto"/>
        <w:rPr>
          <w:rFonts w:cs="宋体" w:asciiTheme="minorEastAsia" w:hAnsiTheme="minorEastAsia" w:eastAsiaTheme="minorEastAsia"/>
          <w:b/>
          <w:bCs/>
          <w:szCs w:val="21"/>
        </w:rPr>
      </w:pPr>
      <w:r>
        <w:rPr>
          <w:rFonts w:hint="eastAsia" w:cs="宋体" w:asciiTheme="minorEastAsia" w:hAnsiTheme="minorEastAsia" w:eastAsiaTheme="minorEastAsia"/>
          <w:b/>
          <w:bCs/>
          <w:szCs w:val="21"/>
        </w:rPr>
        <w:t>一、项目概况</w:t>
      </w:r>
    </w:p>
    <w:p>
      <w:pPr>
        <w:tabs>
          <w:tab w:val="left" w:pos="1701"/>
        </w:tabs>
        <w:autoSpaceDE w:val="0"/>
        <w:autoSpaceDN w:val="0"/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南京农业大学拟邀请有能力的供应商承担本校“四害”防治工作，供应商应</w:t>
      </w:r>
      <w:r>
        <w:rPr>
          <w:rFonts w:hint="eastAsia" w:asciiTheme="minorEastAsia" w:hAnsiTheme="minorEastAsia" w:eastAsiaTheme="minorEastAsia"/>
          <w:szCs w:val="21"/>
        </w:rPr>
        <w:t>根据学校的特点和虫害侵害的状况，有针对性地采取科学、规范、综合性杀灭措施，有效降低和控制虫害密度，达到南京市爱国卫生运动委员会规定的除四害工作管理目标。</w:t>
      </w:r>
    </w:p>
    <w:p>
      <w:pPr>
        <w:tabs>
          <w:tab w:val="left" w:pos="1701"/>
        </w:tabs>
        <w:autoSpaceDE w:val="0"/>
        <w:autoSpaceDN w:val="0"/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服务场所：卫岗校区占地约915亩，其中校园用地为705亩，家属区约80亩，卫岗校区牌楼实验实习基地约130亩，具体数据以实际面积为准。</w:t>
      </w:r>
    </w:p>
    <w:p>
      <w:pPr>
        <w:spacing w:line="360" w:lineRule="auto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/>
          <w:bCs/>
          <w:szCs w:val="21"/>
        </w:rPr>
        <w:t>二、防治范围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南京农业大学卫岗校区（含牌楼）公共区域及食堂。</w:t>
      </w:r>
    </w:p>
    <w:p>
      <w:pPr>
        <w:spacing w:line="360" w:lineRule="auto"/>
        <w:rPr>
          <w:rFonts w:asciiTheme="minorEastAsia" w:hAnsiTheme="minorEastAsia" w:eastAsiaTheme="minorEastAsia"/>
          <w:b/>
          <w:bCs/>
          <w:szCs w:val="21"/>
        </w:rPr>
      </w:pPr>
      <w:r>
        <w:rPr>
          <w:rFonts w:hint="eastAsia" w:asciiTheme="minorEastAsia" w:hAnsiTheme="minorEastAsia" w:eastAsiaTheme="minorEastAsia"/>
          <w:b/>
          <w:bCs/>
          <w:szCs w:val="21"/>
        </w:rPr>
        <w:t>三、防治要求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★1、控制标准：病媒生物密度控制水平，鼠类（GB/T27770-201）、蚊虫（GB/T27771-201）、蝇类（GB/T27772-2011）、蜚蠊（GB/T27773-2011）。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有害生物控制应将虫害密度水平控制在国家容许的范围，即C级。对于特殊或关键区域，则需要根据现场部门要求，适时提高防控标准。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（1）蟑螂防治应达到如下标准：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根据蟑螂的侵害情况，应在服务三个月内将蟑螂密度控制。平均每间房间内不超过5只。被携带或偶入的蟑螂在发现后的7日内处理完毕。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（2）鼠类防治标准：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1）达到国家爱卫会规定的鼠害控制标准，即：突击实施三个月后，粉剂法测定一夜后阳性粉块不超过3%（房间每15平米）。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2）室外建立专业鼠饵站，保证定期（每月）对鼠饵的更换和维护。每月检查巩固，每季度全面进行预防性处理。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3）建筑内部无鼠巢穴存在。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4）偶发性鼠类入侵，从发现之日起10日内解决。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（3）苍蝇防治标准：根据苍蝇的季节消长情况定期每月2次进行孳生地的药物控制，即：区域蝇虫数不超过5只（房间每15平米），建筑内部区域无蝇虫群舞现象。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（4）蚊子防治标准：根据蚊子的季节消长情况定期每月进行孳生地的药物控制，即：</w:t>
      </w:r>
      <w:r>
        <w:rPr>
          <w:rFonts w:asciiTheme="minorEastAsia" w:hAnsiTheme="minorEastAsia" w:eastAsiaTheme="minorEastAsia"/>
          <w:szCs w:val="21"/>
        </w:rPr>
        <w:t>C级:停落指数小于或等于1.5，采样</w:t>
      </w:r>
      <w:r>
        <w:rPr>
          <w:rFonts w:hint="eastAsia" w:asciiTheme="minorEastAsia" w:hAnsiTheme="minorEastAsia" w:eastAsiaTheme="minorEastAsia"/>
          <w:szCs w:val="21"/>
        </w:rPr>
        <w:t>勺指数小于或等于</w:t>
      </w:r>
      <w:r>
        <w:rPr>
          <w:rFonts w:asciiTheme="minorEastAsia" w:hAnsiTheme="minorEastAsia" w:eastAsiaTheme="minorEastAsia"/>
          <w:szCs w:val="21"/>
        </w:rPr>
        <w:t>5%,平均每阳性</w:t>
      </w:r>
      <w:r>
        <w:rPr>
          <w:rFonts w:hint="eastAsia" w:asciiTheme="minorEastAsia" w:hAnsiTheme="minorEastAsia" w:eastAsiaTheme="minorEastAsia"/>
          <w:szCs w:val="21"/>
        </w:rPr>
        <w:t>勺少于8只蚊虫幼虫和蛹，区域蝇虫数不超过5只（房间每15平米），无蚊虫群舞现象。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2、药品、器械投放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（1）每月投放鼠药不少于1次，不得使用蜡块，须设置≥150个带编号固定鼠饵站。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（2）5-10月份垃圾桶、绿化带等蚊蝇孳生地每月洒2次，灭杀蚊蝇。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（3）每月2次对食堂、公寓、办公室等蟑螂孳生地投放灭蟑螂诱饵2次，灭杀蟑螂。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（2）减少防治后药物残留污染，确保食品安全，虫害防治使用进口药物量应≥70%。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（3）服务公司所使用的药剂产品必须具有农药“三证”，即农业部的农药登记证、农药生产许可证、化学品安全说明书（MSDS），提供药物使用清单并提供相关证书复印件，作为档案备份留存。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3、服务要求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（1）固定上门服务人员，并提供服务人员从业资格证书及身份证明。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（2）</w:t>
      </w:r>
      <w:r>
        <w:rPr>
          <w:rFonts w:hint="eastAsia" w:cs="宋体" w:asciiTheme="minorEastAsia" w:hAnsiTheme="minorEastAsia" w:eastAsiaTheme="minorEastAsia"/>
          <w:szCs w:val="21"/>
        </w:rPr>
        <w:t>定期进行除害服务工作，负责质量跟踪，并以书面形式向校方反馈，接受甲方对除害质量的监督和检查。</w:t>
      </w:r>
      <w:r>
        <w:rPr>
          <w:rFonts w:hint="eastAsia" w:asciiTheme="minorEastAsia" w:hAnsiTheme="minorEastAsia" w:eastAsiaTheme="minorEastAsia"/>
          <w:szCs w:val="21"/>
        </w:rPr>
        <w:t>做好每次的防治灭杀记录，书面记录应移交校方；每次灭鼠工作必须经校方指定人员验收合格，并负责场地的清理工作。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（3）应配备与防治要求相适应的常量喷雾器、超低容量喷雾器、车辆等设备以及诱蚊灯、捕蝇笼、监控式鼠饵站等密度监测器材。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（4）校方如有特殊的接待或者其他重要的事宜须提供消杀服务，服务单位必须全力配合开展消杀工作。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（5）如出现鼠虫害，确保在接到校方通知24小时内上门免费服务；对校方提出的处理马蜂、蜜蜂、蜈蚣、小飞虫等虫类的需求，能及时入校处理。</w:t>
      </w:r>
    </w:p>
    <w:p>
      <w:pPr>
        <w:pStyle w:val="5"/>
        <w:spacing w:line="360" w:lineRule="auto"/>
        <w:ind w:left="15" w:firstLine="465"/>
        <w:rPr>
          <w:rFonts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（6）接受校方提出的合理建议和意见，并及时整改。</w:t>
      </w:r>
    </w:p>
    <w:p>
      <w:pPr>
        <w:pStyle w:val="5"/>
        <w:spacing w:line="360" w:lineRule="auto"/>
        <w:ind w:left="15" w:firstLine="465"/>
        <w:rPr>
          <w:rFonts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（7）督促校方落实除害的综合防范措施，并提出改进意见。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★4、安全要求</w:t>
      </w:r>
    </w:p>
    <w:p>
      <w:pPr>
        <w:pStyle w:val="5"/>
        <w:spacing w:line="360" w:lineRule="auto"/>
        <w:ind w:left="15" w:firstLine="465"/>
        <w:rPr>
          <w:rFonts w:cs="宋体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（1）消杀所需的各类设备、设施、工具、药剂等，必须符合国家的相关规定，</w:t>
      </w:r>
      <w:r>
        <w:rPr>
          <w:rFonts w:hint="eastAsia" w:cs="宋体" w:asciiTheme="minorEastAsia" w:hAnsiTheme="minorEastAsia" w:eastAsiaTheme="minorEastAsia"/>
          <w:szCs w:val="21"/>
        </w:rPr>
        <w:t>不使用国家违禁药品，</w:t>
      </w:r>
      <w:r>
        <w:rPr>
          <w:rFonts w:hint="eastAsia" w:asciiTheme="minorEastAsia" w:hAnsiTheme="minorEastAsia" w:eastAsiaTheme="minorEastAsia"/>
          <w:szCs w:val="21"/>
        </w:rPr>
        <w:t>且均由乙方负责解决；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（2）因设备及药剂使用违规或使用不当，对校方环境及设施造成破坏的应照价赔偿；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（3）所使用药剂不得对人体呼吸道、皮肤等健康方面有不良影响，确保对人员或其他动植物无害，否则需赔偿校方因此带来的损失；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（4）所使用药剂不得对墙体、金属、木饰面等装修材料造成污染和腐蚀，否则需赔偿校方因此带来的损失。</w:t>
      </w:r>
    </w:p>
    <w:p>
      <w:pPr>
        <w:pStyle w:val="5"/>
        <w:spacing w:line="360" w:lineRule="auto"/>
        <w:ind w:left="15" w:firstLine="465"/>
        <w:rPr>
          <w:rFonts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（5）现场服务时，要遵守校方有关规章制度，做到安全操作，产生的人身及财产责任，均由乙方承担。</w:t>
      </w:r>
    </w:p>
    <w:p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（6）对易发生被人畜误食的投药场所，应当设立警示标识。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★5、其他要求</w:t>
      </w:r>
    </w:p>
    <w:p>
      <w:pPr>
        <w:spacing w:line="360" w:lineRule="auto"/>
        <w:ind w:firstLine="422" w:firstLineChars="200"/>
        <w:rPr>
          <w:rFonts w:asciiTheme="minorEastAsia" w:hAnsiTheme="minorEastAsia" w:eastAsiaTheme="minorEastAsia"/>
          <w:b/>
          <w:szCs w:val="21"/>
        </w:rPr>
      </w:pPr>
      <w:r>
        <w:rPr>
          <w:rFonts w:hint="eastAsia" w:asciiTheme="minorEastAsia" w:hAnsiTheme="minorEastAsia" w:eastAsiaTheme="minorEastAsia"/>
          <w:b/>
          <w:szCs w:val="21"/>
        </w:rPr>
        <w:t>提供用在本项目的化学药剂，需具有农药登记证、农药生产许可证、化学品安全说明书（MSDS），以上“三证”缺一不可。</w:t>
      </w:r>
    </w:p>
    <w:p>
      <w:pPr>
        <w:spacing w:line="360" w:lineRule="auto"/>
        <w:rPr>
          <w:rFonts w:asciiTheme="minorEastAsia" w:hAnsiTheme="minorEastAsia" w:eastAsiaTheme="minorEastAsia"/>
          <w:b/>
          <w:szCs w:val="21"/>
        </w:rPr>
      </w:pPr>
      <w:r>
        <w:rPr>
          <w:rFonts w:hint="eastAsia" w:asciiTheme="minorEastAsia" w:hAnsiTheme="minorEastAsia" w:eastAsiaTheme="minorEastAsia"/>
          <w:b/>
          <w:szCs w:val="21"/>
        </w:rPr>
        <w:t>四、商务要求</w:t>
      </w:r>
    </w:p>
    <w:p>
      <w:pPr>
        <w:pStyle w:val="4"/>
        <w:adjustRightInd w:val="0"/>
        <w:snapToGrid w:val="0"/>
        <w:spacing w:line="360" w:lineRule="auto"/>
        <w:ind w:left="0" w:firstLine="420" w:firstLineChars="200"/>
        <w:rPr>
          <w:rFonts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1、关于报价：投标报价应包括为采购人提供“四害”防治服务应包含的一切费用、</w:t>
      </w:r>
      <w:r>
        <w:rPr>
          <w:rFonts w:cs="宋体" w:asciiTheme="minorEastAsia" w:hAnsiTheme="minorEastAsia" w:eastAsiaTheme="minorEastAsia"/>
          <w:szCs w:val="21"/>
        </w:rPr>
        <w:t>税费</w:t>
      </w:r>
      <w:r>
        <w:rPr>
          <w:rFonts w:hint="eastAsia" w:cs="宋体" w:asciiTheme="minorEastAsia" w:hAnsiTheme="minorEastAsia" w:eastAsiaTheme="minorEastAsia"/>
          <w:szCs w:val="21"/>
        </w:rPr>
        <w:t>和利润。投标报价应综合考虑国家政策调整以及市场价格变化所产生的风险。</w:t>
      </w:r>
    </w:p>
    <w:p>
      <w:pPr>
        <w:pStyle w:val="4"/>
        <w:adjustRightInd w:val="0"/>
        <w:snapToGrid w:val="0"/>
        <w:spacing w:line="360" w:lineRule="auto"/>
        <w:ind w:left="0" w:firstLine="420" w:firstLineChars="200"/>
        <w:rPr>
          <w:rFonts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2、服务期限：自签订合同之日起二年。</w:t>
      </w:r>
    </w:p>
    <w:p>
      <w:pPr>
        <w:tabs>
          <w:tab w:val="left" w:pos="1701"/>
        </w:tabs>
        <w:autoSpaceDE w:val="0"/>
        <w:autoSpaceDN w:val="0"/>
        <w:snapToGrid w:val="0"/>
        <w:spacing w:line="360" w:lineRule="auto"/>
        <w:ind w:firstLine="420" w:firstLineChars="200"/>
        <w:rPr>
          <w:rFonts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3、成交供应商对本项目不得分包、转包，否则，一经发现即被视为违约，将被中止合同，并赔偿损失。</w:t>
      </w:r>
    </w:p>
    <w:p>
      <w:pPr>
        <w:pStyle w:val="5"/>
        <w:spacing w:line="360" w:lineRule="auto"/>
        <w:ind w:left="15" w:firstLine="465"/>
        <w:rPr>
          <w:rFonts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napToGrid w:val="0"/>
          <w:kern w:val="0"/>
          <w:szCs w:val="21"/>
        </w:rPr>
        <w:t>4、</w:t>
      </w:r>
      <w:r>
        <w:rPr>
          <w:rFonts w:hint="eastAsia" w:cs="宋体" w:asciiTheme="minorEastAsia" w:hAnsiTheme="minorEastAsia" w:eastAsiaTheme="minorEastAsia"/>
          <w:szCs w:val="21"/>
        </w:rPr>
        <w:t>合同签订生效10日内成交供应商安排人员进场防治，每6个月经校方考核合格后，成交供应商向采购人开具发票，采购人收到发票后15个工作日内支付合同总金额的50%，剩余50%款项在合同到期前一个月支付给乙方。</w:t>
      </w:r>
    </w:p>
    <w:p>
      <w:pPr>
        <w:pStyle w:val="2"/>
      </w:pPr>
    </w:p>
    <w:p>
      <w:bookmarkStart w:id="0" w:name="_GoBack"/>
      <w:bookmarkEnd w:id="0"/>
    </w:p>
    <w:sectPr>
      <w:footerReference r:id="rId4" w:type="first"/>
      <w:footerReference r:id="rId3" w:type="default"/>
      <w:pgSz w:w="11906" w:h="16838"/>
      <w:pgMar w:top="1418" w:right="1418" w:bottom="1418" w:left="1418" w:header="851" w:footer="680" w:gutter="0"/>
      <w:pgNumType w:start="1"/>
      <w:cols w:space="720" w:num="1"/>
      <w:titlePg/>
      <w:docGrid w:linePitch="29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36605602"/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rPr>
        <w:rFonts w:hint="eastAsia"/>
      </w:rPr>
      <w:t>1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lM2VhYmQzYzM3OTYwYmYxNDk4NjlhMGY3NGEzMTkifQ=="/>
  </w:docVars>
  <w:rsids>
    <w:rsidRoot w:val="00000000"/>
    <w:rsid w:val="2407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99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99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tabs>
        <w:tab w:val="left" w:pos="1440"/>
        <w:tab w:val="left" w:pos="5670"/>
      </w:tabs>
      <w:spacing w:after="120" w:afterLines="50" w:line="360" w:lineRule="auto"/>
      <w:jc w:val="center"/>
      <w:outlineLvl w:val="0"/>
    </w:pPr>
    <w:rPr>
      <w:rFonts w:asciiTheme="minorEastAsia" w:hAnsiTheme="minorEastAsia" w:eastAsiaTheme="minorEastAsia" w:cstheme="majorEastAsia"/>
      <w:b/>
      <w:sz w:val="32"/>
      <w:szCs w:val="32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120" w:after="120"/>
      <w:outlineLvl w:val="3"/>
    </w:pPr>
    <w:rPr>
      <w:rFonts w:ascii="Arial" w:hAnsi="Arial" w:eastAsia="黑体" w:cstheme="majorBidi"/>
      <w:b/>
      <w:sz w:val="28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index 4"/>
    <w:basedOn w:val="1"/>
    <w:next w:val="1"/>
    <w:semiHidden/>
    <w:qFormat/>
    <w:uiPriority w:val="99"/>
    <w:pPr>
      <w:ind w:left="126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2024-01-18T08:21:45Z</dcterms:created>
  <dc:creator>Administrator</dc:creator>
  <cp:lastModifiedBy>Administrator</cp:lastModifiedBy>
  <dcterms:modified xsi:type="dcterms:W3CDTF">2024-01-18T08:21:51Z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FF651EF2DBFD4ADA801ACD32898DF5B3_12</vt:lpwstr>
  </property>
</Properties>
</file>